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F100D9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</w:t>
      </w:r>
      <w:proofErr w:type="gramStart"/>
      <w:r w:rsidRPr="00323B08">
        <w:rPr>
          <w:rFonts w:ascii="Arial" w:hAnsi="Arial" w:cs="Arial"/>
          <w:i/>
          <w:sz w:val="20"/>
          <w:szCs w:val="20"/>
        </w:rPr>
        <w:t>signature</w:t>
      </w:r>
      <w:proofErr w:type="gramEnd"/>
      <w:r w:rsidRPr="00323B08">
        <w:rPr>
          <w:rFonts w:ascii="Arial" w:hAnsi="Arial" w:cs="Arial"/>
          <w:i/>
          <w:sz w:val="20"/>
          <w:szCs w:val="20"/>
        </w:rPr>
        <w:t xml:space="preserve">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C1B08">
        <w:rPr>
          <w:rFonts w:ascii="Arial" w:hAnsi="Arial" w:cs="Arial"/>
          <w:sz w:val="20"/>
          <w:szCs w:val="20"/>
        </w:rPr>
        <w:t xml:space="preserve">Bâtiment – </w:t>
      </w:r>
      <w:r w:rsidR="00F100D9">
        <w:rPr>
          <w:rFonts w:ascii="Arial" w:hAnsi="Arial" w:cs="Arial"/>
          <w:sz w:val="20"/>
          <w:szCs w:val="20"/>
        </w:rPr>
        <w:t>Electricité</w:t>
      </w:r>
    </w:p>
    <w:p w:rsidR="009979A4" w:rsidRDefault="009979A4" w:rsidP="003C1B08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 professionnelle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852F65">
        <w:rPr>
          <w:rFonts w:ascii="Arial" w:hAnsi="Arial" w:cs="Arial"/>
          <w:sz w:val="20"/>
          <w:szCs w:val="20"/>
        </w:rPr>
        <w:t>Baccalauréat</w:t>
      </w:r>
      <w:r w:rsidR="003C1B08">
        <w:rPr>
          <w:rFonts w:ascii="Arial" w:hAnsi="Arial" w:cs="Arial"/>
          <w:sz w:val="20"/>
          <w:szCs w:val="20"/>
        </w:rPr>
        <w:t xml:space="preserve"> Professionnel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6D4770">
        <w:rPr>
          <w:rFonts w:ascii="Arial" w:hAnsi="Arial" w:cs="Arial"/>
          <w:sz w:val="20"/>
          <w:szCs w:val="20"/>
        </w:rPr>
        <w:t>Electrotechnique, Energie, Equipements Communicants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proofErr w:type="gramStart"/>
      <w:r>
        <w:rPr>
          <w:rFonts w:ascii="Arial" w:hAnsi="Arial" w:cs="Arial"/>
          <w:i/>
          <w:sz w:val="20"/>
          <w:szCs w:val="20"/>
        </w:rPr>
        <w:t>à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4D1" w:rsidRDefault="001024D1" w:rsidP="00102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Collage moulure      PVC</w:t>
            </w:r>
          </w:p>
          <w:p w:rsidR="001024D1" w:rsidRPr="001024D1" w:rsidRDefault="001024D1" w:rsidP="00102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52F65" w:rsidRPr="009979A4" w:rsidRDefault="001024D1" w:rsidP="00102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4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Ciment Prompt, MAP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Risque d’inhalation de fibres d’amiante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Effets : maladies pulmonaires – cancérigène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V.L.E.P*. : 100 Fibres /litre sur 8h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Abaissée à 10 Fibres /litre au 01/07/2015</w:t>
            </w:r>
          </w:p>
          <w:p w:rsidR="001024D1" w:rsidRPr="001024D1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024D1">
              <w:rPr>
                <w:rFonts w:ascii="Times New Roman" w:eastAsia="Times New Roman" w:hAnsi="Times New Roman" w:cs="Times New Roman"/>
                <w:bCs/>
                <w:i/>
                <w:szCs w:val="24"/>
              </w:rPr>
              <w:t>Valeur limite d’exposition professionnelle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1024D1">
              <w:rPr>
                <w:rFonts w:ascii="Times New Roman" w:eastAsia="Times New Roman" w:hAnsi="Times New Roman" w:cs="Times New Roman"/>
                <w:sz w:val="24"/>
                <w:szCs w:val="24"/>
              </w:rPr>
              <w:t>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4D1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  <w:p w:rsidR="001024D1" w:rsidRPr="009979A4" w:rsidRDefault="001024D1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CE0" w:rsidRPr="00673D85" w:rsidRDefault="001024D1" w:rsidP="003C1B0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Laser                    Assurer les niveaux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4D1" w:rsidRDefault="001024D1" w:rsidP="001024D1">
            <w:r>
              <w:t xml:space="preserve">Pose des équipements électriques perforateurs, </w:t>
            </w:r>
            <w:proofErr w:type="spellStart"/>
            <w:r>
              <w:t>rainureuse</w:t>
            </w:r>
            <w:proofErr w:type="spellEnd"/>
          </w:p>
          <w:p w:rsidR="001024D1" w:rsidRDefault="001024D1" w:rsidP="001024D1">
            <w:r>
              <w:t xml:space="preserve">Fixation appareillage       visseuse                 </w:t>
            </w:r>
          </w:p>
          <w:p w:rsidR="001024D1" w:rsidRDefault="001024D1" w:rsidP="001024D1">
            <w:r>
              <w:t>Aspiration nettoyage          aspirateur</w:t>
            </w:r>
          </w:p>
          <w:p w:rsidR="001024D1" w:rsidRDefault="001024D1" w:rsidP="001024D1">
            <w:pPr>
              <w:spacing w:before="100" w:beforeAutospacing="1" w:after="100" w:afterAutospacing="1" w:line="240" w:lineRule="auto"/>
            </w:pPr>
            <w:r>
              <w:t xml:space="preserve">Découpage multi matériaux                         Scie </w:t>
            </w:r>
          </w:p>
          <w:p w:rsidR="00852F65" w:rsidRPr="001024D1" w:rsidRDefault="00852F65" w:rsidP="00102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Mesures électriques (VAT, multimètre, pinces ampérométriques)</w:t>
            </w:r>
          </w:p>
        </w:tc>
      </w:tr>
      <w:tr w:rsidR="009979A4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673D85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  <w:r w:rsidR="009979A4"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024D1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852F65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Ces appareils sont les suivants :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compresseurs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bouteilles de gaz – tuyauteries et accessoires, GPL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extincteurs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vapeur (chaudière)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liquide (banc hydraulique)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9A4" w:rsidRPr="009979A4" w:rsidRDefault="009979A4" w:rsidP="00102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footerReference w:type="default" r:id="rId9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90" w:rsidRDefault="00B42990" w:rsidP="001636F9">
      <w:pPr>
        <w:spacing w:after="0" w:line="240" w:lineRule="auto"/>
      </w:pPr>
      <w:r>
        <w:separator/>
      </w:r>
    </w:p>
  </w:endnote>
  <w:endnote w:type="continuationSeparator" w:id="0">
    <w:p w:rsidR="00B42990" w:rsidRDefault="00B42990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Default="001636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90" w:rsidRDefault="00B42990" w:rsidP="001636F9">
      <w:pPr>
        <w:spacing w:after="0" w:line="240" w:lineRule="auto"/>
      </w:pPr>
      <w:r>
        <w:separator/>
      </w:r>
    </w:p>
  </w:footnote>
  <w:footnote w:type="continuationSeparator" w:id="0">
    <w:p w:rsidR="00B42990" w:rsidRDefault="00B42990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1024D1"/>
    <w:rsid w:val="00122DE7"/>
    <w:rsid w:val="001636F9"/>
    <w:rsid w:val="001D54C8"/>
    <w:rsid w:val="002C5030"/>
    <w:rsid w:val="003A6B18"/>
    <w:rsid w:val="003C1B08"/>
    <w:rsid w:val="003C798C"/>
    <w:rsid w:val="00502E2C"/>
    <w:rsid w:val="00547194"/>
    <w:rsid w:val="00673D85"/>
    <w:rsid w:val="006D4770"/>
    <w:rsid w:val="00711E62"/>
    <w:rsid w:val="007644C3"/>
    <w:rsid w:val="00852F65"/>
    <w:rsid w:val="00946CE0"/>
    <w:rsid w:val="009979A4"/>
    <w:rsid w:val="00AC2519"/>
    <w:rsid w:val="00AD0418"/>
    <w:rsid w:val="00B42990"/>
    <w:rsid w:val="00F100D9"/>
    <w:rsid w:val="00F53E6E"/>
    <w:rsid w:val="00F64D9A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2</cp:revision>
  <dcterms:created xsi:type="dcterms:W3CDTF">2015-05-18T10:21:00Z</dcterms:created>
  <dcterms:modified xsi:type="dcterms:W3CDTF">2015-05-18T10:21:00Z</dcterms:modified>
</cp:coreProperties>
</file>